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FC2" w:rsidRDefault="00BE297A" w:rsidP="00456B1D">
      <w:pPr>
        <w:spacing w:after="160" w:line="25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Тема: «Обязанность указания кода</w:t>
      </w:r>
      <w:r w:rsidR="00456B1D">
        <w:rPr>
          <w:b/>
          <w:color w:val="000000"/>
          <w:sz w:val="28"/>
          <w:szCs w:val="28"/>
        </w:rPr>
        <w:t xml:space="preserve"> земельных участков в кодах ОКС</w:t>
      </w:r>
      <w:r w:rsidR="00DE7A1A">
        <w:rPr>
          <w:b/>
          <w:color w:val="000000"/>
          <w:sz w:val="28"/>
          <w:szCs w:val="28"/>
        </w:rPr>
        <w:t>»</w:t>
      </w:r>
    </w:p>
    <w:p w:rsidR="00BE297A" w:rsidRPr="00456B1D" w:rsidRDefault="00BE297A" w:rsidP="00456B1D">
      <w:pPr>
        <w:spacing w:after="160" w:line="25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Много вопросов вызывает необходимость установления связи ОКС с землёй. Почему необходимо в коде ОКС указывать ВРИ земельного участка и какие последствия возможны в сл</w:t>
      </w:r>
      <w:r w:rsidR="00456B1D">
        <w:rPr>
          <w:color w:val="000000"/>
          <w:sz w:val="28"/>
          <w:szCs w:val="28"/>
        </w:rPr>
        <w:t>учае неустановления этой связ</w:t>
      </w:r>
      <w:r w:rsidR="00C468A8">
        <w:rPr>
          <w:color w:val="000000"/>
          <w:sz w:val="28"/>
          <w:szCs w:val="28"/>
        </w:rPr>
        <w:t>и</w:t>
      </w:r>
      <w:r w:rsidR="001B3935">
        <w:rPr>
          <w:color w:val="000000"/>
          <w:sz w:val="28"/>
          <w:szCs w:val="28"/>
        </w:rPr>
        <w:t>.</w:t>
      </w:r>
    </w:p>
    <w:p w:rsidR="003E3FC2" w:rsidRPr="00456B1D" w:rsidRDefault="00C468A8" w:rsidP="00456B1D">
      <w:pPr>
        <w:spacing w:after="160" w:line="25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</w:t>
      </w:r>
      <w:r w:rsidR="00BE297A" w:rsidRPr="00300409">
        <w:rPr>
          <w:color w:val="000000"/>
          <w:sz w:val="28"/>
          <w:szCs w:val="28"/>
        </w:rPr>
        <w:t xml:space="preserve">ема достаточно важная. Не нужно быть специалистом в оценке, чтобы понимать, что от месторасположения объекта зависит его стоимость. </w:t>
      </w:r>
      <w:r w:rsidR="00BE297A">
        <w:rPr>
          <w:color w:val="000000"/>
          <w:sz w:val="28"/>
          <w:szCs w:val="28"/>
        </w:rPr>
        <w:t>Э</w:t>
      </w:r>
      <w:r w:rsidR="00BE297A" w:rsidRPr="00300409">
        <w:rPr>
          <w:color w:val="000000"/>
          <w:sz w:val="28"/>
          <w:szCs w:val="28"/>
        </w:rPr>
        <w:t>то касается и земельного участка, и объекта капитального строительства, независимо от того, какой подход (тех</w:t>
      </w:r>
      <w:r w:rsidR="00456B1D">
        <w:rPr>
          <w:color w:val="000000"/>
          <w:sz w:val="28"/>
          <w:szCs w:val="28"/>
        </w:rPr>
        <w:t>ника оценки) будет применяться.</w:t>
      </w:r>
    </w:p>
    <w:p w:rsidR="003E3FC2" w:rsidRPr="00456B1D" w:rsidRDefault="00BE297A" w:rsidP="00456B1D">
      <w:pPr>
        <w:spacing w:after="160" w:line="256" w:lineRule="auto"/>
        <w:ind w:firstLine="708"/>
        <w:jc w:val="both"/>
        <w:rPr>
          <w:color w:val="000000"/>
          <w:sz w:val="28"/>
          <w:szCs w:val="28"/>
        </w:rPr>
      </w:pPr>
      <w:r w:rsidRPr="00300409">
        <w:rPr>
          <w:color w:val="000000"/>
          <w:sz w:val="28"/>
          <w:szCs w:val="28"/>
        </w:rPr>
        <w:t xml:space="preserve">Учитывая тот факт, что земельный контроль долгое время </w:t>
      </w:r>
      <w:r>
        <w:rPr>
          <w:color w:val="000000"/>
          <w:sz w:val="28"/>
          <w:szCs w:val="28"/>
        </w:rPr>
        <w:t xml:space="preserve">во многих субъектах </w:t>
      </w:r>
      <w:r w:rsidRPr="00300409">
        <w:rPr>
          <w:color w:val="000000"/>
          <w:sz w:val="28"/>
          <w:szCs w:val="28"/>
        </w:rPr>
        <w:t>не</w:t>
      </w:r>
      <w:r>
        <w:rPr>
          <w:color w:val="000000"/>
          <w:sz w:val="28"/>
          <w:szCs w:val="28"/>
        </w:rPr>
        <w:t xml:space="preserve"> проводился на должном уровне, встречается</w:t>
      </w:r>
      <w:r w:rsidRPr="00300409">
        <w:rPr>
          <w:color w:val="000000"/>
          <w:sz w:val="28"/>
          <w:szCs w:val="28"/>
        </w:rPr>
        <w:t xml:space="preserve"> много объектов капитального строительства, </w:t>
      </w:r>
      <w:r>
        <w:rPr>
          <w:color w:val="000000"/>
          <w:sz w:val="28"/>
          <w:szCs w:val="28"/>
        </w:rPr>
        <w:t xml:space="preserve">фактическое </w:t>
      </w:r>
      <w:r w:rsidRPr="00300409">
        <w:rPr>
          <w:color w:val="000000"/>
          <w:sz w:val="28"/>
          <w:szCs w:val="28"/>
        </w:rPr>
        <w:t>назначени</w:t>
      </w:r>
      <w:r>
        <w:rPr>
          <w:color w:val="000000"/>
          <w:sz w:val="28"/>
          <w:szCs w:val="28"/>
        </w:rPr>
        <w:t>е которых</w:t>
      </w:r>
      <w:r w:rsidRPr="00300409">
        <w:rPr>
          <w:color w:val="000000"/>
          <w:sz w:val="28"/>
          <w:szCs w:val="28"/>
        </w:rPr>
        <w:t xml:space="preserve"> не соответству</w:t>
      </w:r>
      <w:r>
        <w:rPr>
          <w:color w:val="000000"/>
          <w:sz w:val="28"/>
          <w:szCs w:val="28"/>
        </w:rPr>
        <w:t>е</w:t>
      </w:r>
      <w:r w:rsidRPr="00300409">
        <w:rPr>
          <w:color w:val="000000"/>
          <w:sz w:val="28"/>
          <w:szCs w:val="28"/>
        </w:rPr>
        <w:t>т виду разрешённого использования земельных участков</w:t>
      </w:r>
      <w:r>
        <w:rPr>
          <w:color w:val="000000"/>
          <w:sz w:val="28"/>
          <w:szCs w:val="28"/>
        </w:rPr>
        <w:t>, на которых они расположены (нарушение ст. 42 ЗК РФ)</w:t>
      </w:r>
      <w:r w:rsidRPr="00300409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следовательно, </w:t>
      </w:r>
      <w:r w:rsidRPr="00300409">
        <w:rPr>
          <w:color w:val="000000"/>
          <w:sz w:val="28"/>
          <w:szCs w:val="28"/>
        </w:rPr>
        <w:t xml:space="preserve">требуется выработка единого </w:t>
      </w:r>
      <w:r w:rsidR="00456B1D">
        <w:rPr>
          <w:color w:val="000000"/>
          <w:sz w:val="28"/>
          <w:szCs w:val="28"/>
        </w:rPr>
        <w:t>подхода к оценке таких объектов.</w:t>
      </w:r>
      <w:bookmarkStart w:id="0" w:name="_GoBack"/>
      <w:bookmarkEnd w:id="0"/>
    </w:p>
    <w:p w:rsidR="00BE297A" w:rsidRDefault="00BE297A" w:rsidP="00BE297A">
      <w:pPr>
        <w:spacing w:after="160" w:line="25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 мы прекрасно понимаем, что при нарушении правил землепользования возможны несколько сценариев развития ситуации:</w:t>
      </w:r>
    </w:p>
    <w:p w:rsidR="00BE297A" w:rsidRDefault="00BE297A" w:rsidP="00BE297A">
      <w:pPr>
        <w:pStyle w:val="a3"/>
        <w:numPr>
          <w:ilvl w:val="0"/>
          <w:numId w:val="1"/>
        </w:numPr>
        <w:spacing w:after="160" w:line="25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легализация застройки объекта, в том числе путём изменения вида разрешённого использования;</w:t>
      </w:r>
    </w:p>
    <w:p w:rsidR="00BE297A" w:rsidRDefault="00BE297A" w:rsidP="00BE297A">
      <w:pPr>
        <w:pStyle w:val="a3"/>
        <w:numPr>
          <w:ilvl w:val="0"/>
          <w:numId w:val="1"/>
        </w:numPr>
        <w:spacing w:after="160" w:line="25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понуждение правообладателя привести объект капитального строительства в соответствие с разрешённым использованием;</w:t>
      </w:r>
    </w:p>
    <w:p w:rsidR="0030593B" w:rsidRPr="00456B1D" w:rsidRDefault="00BE297A" w:rsidP="0030593B">
      <w:pPr>
        <w:pStyle w:val="a3"/>
        <w:numPr>
          <w:ilvl w:val="0"/>
          <w:numId w:val="1"/>
        </w:numPr>
        <w:spacing w:after="160" w:line="25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ликвидация объекта капитального строительства с реновацией территории (с целью возврата характеристик участка в исходное состояние, пригодное для разрешённого использования).</w:t>
      </w:r>
    </w:p>
    <w:p w:rsidR="0030593B" w:rsidRPr="00456B1D" w:rsidRDefault="00BE297A" w:rsidP="00456B1D">
      <w:pPr>
        <w:spacing w:after="160" w:line="25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Все эти меры могут как сопровождаться штрафными санкциями, так и обходиться без таковых. </w:t>
      </w:r>
    </w:p>
    <w:p w:rsidR="0030593B" w:rsidRPr="00456B1D" w:rsidRDefault="00BE297A" w:rsidP="00456B1D">
      <w:pPr>
        <w:spacing w:after="160" w:line="25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если до недавнего времени органам местного самоуправления было затруднительно выделять силы на проведение муниципального земельного контроля – средства от уплаты налогов «уходили» в федеральный бюджет, то теперь, с изменением законодательства, когда платежи поступают в бюджеты муниципальных районов (подпункт 7 пункта 1 ст. 46 БК РФ), органам местного самоуправления будет на что содержать</w:t>
      </w:r>
      <w:r w:rsidR="00456B1D">
        <w:rPr>
          <w:color w:val="000000"/>
          <w:sz w:val="28"/>
          <w:szCs w:val="28"/>
        </w:rPr>
        <w:t xml:space="preserve"> и поддерживать службу контроля</w:t>
      </w:r>
      <w:r w:rsidR="001B3935">
        <w:rPr>
          <w:color w:val="000000"/>
          <w:sz w:val="28"/>
          <w:szCs w:val="28"/>
        </w:rPr>
        <w:t>.</w:t>
      </w:r>
    </w:p>
    <w:p w:rsidR="0030593B" w:rsidRPr="00456B1D" w:rsidRDefault="00BE297A" w:rsidP="00456B1D">
      <w:pPr>
        <w:spacing w:after="160" w:line="25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Это позволит не только привести в соответствие землепользование, наведя порядок, но и справедливее подойти к распределению налоговой нагрузки в части имущественных налогов – правообладатели будут платить налоги в соответствии с фактическим использованием, соответствующему разрешен</w:t>
      </w:r>
      <w:r w:rsidR="00456B1D">
        <w:rPr>
          <w:color w:val="000000"/>
          <w:sz w:val="28"/>
          <w:szCs w:val="28"/>
        </w:rPr>
        <w:t>ному виду использования участк</w:t>
      </w:r>
      <w:r w:rsidR="001B3935">
        <w:rPr>
          <w:color w:val="000000"/>
          <w:sz w:val="28"/>
          <w:szCs w:val="28"/>
        </w:rPr>
        <w:t>а.</w:t>
      </w:r>
    </w:p>
    <w:p w:rsidR="0030593B" w:rsidRPr="00456B1D" w:rsidRDefault="00BE297A" w:rsidP="00456B1D">
      <w:pPr>
        <w:spacing w:after="160" w:line="25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Вместе с тем работа по установлению привязки объектов капитального строительства к земельным участкам позволит определять кадастровую стоимость в рыночном уровне цен единого объекта недвижимости – сумма кадастровых стоимостей объекта капитального строительства и земельного участка соответствующего вида разрешённого использования будет находиться в рыночном уровне цен. </w:t>
      </w:r>
    </w:p>
    <w:p w:rsidR="0030593B" w:rsidRPr="00456B1D" w:rsidRDefault="00BE297A" w:rsidP="00456B1D">
      <w:pPr>
        <w:spacing w:after="160" w:line="25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искажениях, несоответствиях назначения объекта капитального строительства и вида разрешённого использования земельного участка, установление кадастровой стоимости единого объекта в рыночном уровне цен невозможно. Причём искажение </w:t>
      </w:r>
      <w:r w:rsidR="0030593B">
        <w:rPr>
          <w:color w:val="000000"/>
          <w:sz w:val="28"/>
          <w:szCs w:val="28"/>
        </w:rPr>
        <w:t>может быть,</w:t>
      </w:r>
      <w:r>
        <w:rPr>
          <w:color w:val="000000"/>
          <w:sz w:val="28"/>
          <w:szCs w:val="28"/>
        </w:rPr>
        <w:t xml:space="preserve"> как в большую сторону, что грозит оспариванием и социальным напряжением, так и в меньшую, что приводит к </w:t>
      </w:r>
      <w:proofErr w:type="spellStart"/>
      <w:r>
        <w:rPr>
          <w:color w:val="000000"/>
          <w:sz w:val="28"/>
          <w:szCs w:val="28"/>
        </w:rPr>
        <w:t>недополуч</w:t>
      </w:r>
      <w:r w:rsidR="0030593B">
        <w:rPr>
          <w:color w:val="000000"/>
          <w:sz w:val="28"/>
          <w:szCs w:val="28"/>
        </w:rPr>
        <w:t>ению</w:t>
      </w:r>
      <w:proofErr w:type="spellEnd"/>
      <w:r w:rsidR="0030593B">
        <w:rPr>
          <w:color w:val="000000"/>
          <w:sz w:val="28"/>
          <w:szCs w:val="28"/>
        </w:rPr>
        <w:t xml:space="preserve"> местными бюджетами средств.</w:t>
      </w:r>
    </w:p>
    <w:p w:rsidR="0030593B" w:rsidRPr="00456B1D" w:rsidRDefault="00BE297A" w:rsidP="00456B1D">
      <w:pPr>
        <w:spacing w:after="160" w:line="25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Плюс к тому, в зависимости от решений, которые примут органы местного самоуправления, - легализовать объект, изменив вид разрешённого использования земельного участка, понудить привести в соответствие застройку участка, либо решение о сносе объекта, - весьма существенно будет изменяться результат расчёта стоимости этого объекта капитального строительства. Понятно, что объект, который на дату определения стоимости требуется снести в целом или в некой части, не может стоить столько же, сколько объект, который можно эксплуатировать без каких-либо изде</w:t>
      </w:r>
      <w:r w:rsidR="00456B1D">
        <w:rPr>
          <w:color w:val="000000"/>
          <w:sz w:val="28"/>
          <w:szCs w:val="28"/>
        </w:rPr>
        <w:t>ржек со стороны правообладателя.</w:t>
      </w:r>
    </w:p>
    <w:p w:rsidR="0030593B" w:rsidRPr="00456B1D" w:rsidRDefault="00BE297A" w:rsidP="00456B1D">
      <w:pPr>
        <w:spacing w:after="160" w:line="25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Собственно, требование Методических указаний по установлению привязки объектов капитального строительства к земельным участкам, на которых они расположены, по назначению и виду разрешённого использования в первую очередь преследует эту цель. Ведь в конечном итоге именно ГБУ несёт ответственность за результаты кадастровой оценки, количество оспариваний, в том числе (в действующей редакции 237-ФЗ) и финансовую ответственность – именно на ГБУ возлагается обязанност</w:t>
      </w:r>
      <w:r w:rsidR="00456B1D">
        <w:rPr>
          <w:color w:val="000000"/>
          <w:sz w:val="28"/>
          <w:szCs w:val="28"/>
        </w:rPr>
        <w:t>ь компенсации судебных расходов.</w:t>
      </w:r>
    </w:p>
    <w:p w:rsidR="00BE297A" w:rsidRDefault="00BE297A" w:rsidP="00BE297A">
      <w:pPr>
        <w:spacing w:after="160" w:line="25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Субсидиарная ответственность возлагается на региональный бюджет. Получается, что из-за исторически сложившегося некорректного и/или неполного учёта сведений в отношении объектов (не все объекты капитального строительства «привязаны» к земельным участкам), а также из-за бездействия органов местного самоуправления в части проведения земельного контроля, ГБУ и региональный бюджет могут пострадать и весьма существенно – одно оспаривание может обойтись в весьма круглую сумму, сопоставимую с налоговыми поступлениями от целой группы объектов.</w:t>
      </w:r>
    </w:p>
    <w:sectPr w:rsidR="00BE2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7C052F"/>
    <w:multiLevelType w:val="hybridMultilevel"/>
    <w:tmpl w:val="180273D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149"/>
    <w:rsid w:val="00187149"/>
    <w:rsid w:val="001B3935"/>
    <w:rsid w:val="0030593B"/>
    <w:rsid w:val="003E3FC2"/>
    <w:rsid w:val="00400BD7"/>
    <w:rsid w:val="00456B1D"/>
    <w:rsid w:val="00BE297A"/>
    <w:rsid w:val="00C45D79"/>
    <w:rsid w:val="00C468A8"/>
    <w:rsid w:val="00DE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B27C6"/>
  <w15:docId w15:val="{B0554A48-62EE-4718-91E7-1C4924DE9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29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E3FC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E3FC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Abdulla</cp:lastModifiedBy>
  <cp:revision>8</cp:revision>
  <cp:lastPrinted>2018-11-07T12:41:00Z</cp:lastPrinted>
  <dcterms:created xsi:type="dcterms:W3CDTF">2018-11-06T05:33:00Z</dcterms:created>
  <dcterms:modified xsi:type="dcterms:W3CDTF">2018-11-21T14:17:00Z</dcterms:modified>
</cp:coreProperties>
</file>