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0EE3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экономического развития РФ от 20 февраля 2017 г. N 74</w:t>
        </w:r>
        <w:r>
          <w:rPr>
            <w:rStyle w:val="a4"/>
            <w:b w:val="0"/>
            <w:bCs w:val="0"/>
          </w:rPr>
          <w:br/>
          <w:t>"Об утверждении Порядка формирования и предоставления перечня объектов недвижимости, подлежащих государственной кадастровой оценке, в том числе количественные и качественные характер</w:t>
        </w:r>
        <w:r>
          <w:rPr>
            <w:rStyle w:val="a4"/>
            <w:b w:val="0"/>
            <w:bCs w:val="0"/>
          </w:rPr>
          <w:t>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государственной кадастровой оценке"</w:t>
        </w:r>
      </w:hyperlink>
    </w:p>
    <w:p w:rsidR="00000000" w:rsidRDefault="00460EE3"/>
    <w:p w:rsidR="00000000" w:rsidRDefault="00460EE3">
      <w:r>
        <w:t xml:space="preserve">В соответствии с </w:t>
      </w:r>
      <w:hyperlink r:id="rId6" w:history="1">
        <w:r>
          <w:rPr>
            <w:rStyle w:val="a4"/>
          </w:rPr>
          <w:t>частью 4 статьи 13</w:t>
        </w:r>
      </w:hyperlink>
      <w:r>
        <w:t xml:space="preserve"> Федерального закона от 3 июля 2016 г. N 237-ФЗ "О государственной кадастровой оценке" (Собрание законодательства Российской Федерации, 2016, N 27, ст. </w:t>
      </w:r>
      <w:r>
        <w:t xml:space="preserve">4170) и </w:t>
      </w:r>
      <w:hyperlink r:id="rId7" w:history="1">
        <w:r>
          <w:rPr>
            <w:rStyle w:val="a4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5 июня 2008 г. N 437 (Собрание законодательства Российской Федерации, 2008, N 24, ст. 2867; 2009, N 19, ст. 2344; 2010, N 9, ст. 960; N 19, ст. 2324; N 21, ст. 2602; N 41, ст. 5240; N 45, ст. 5860; N 52, ст. 7104; 2011, N 12, ст.</w:t>
      </w:r>
      <w:r>
        <w:t> 1640; N 17, ст. 2411; N 36, ст. 5149; N 43, ст. 6079; 2012, N 13, ст. 1531; N 27, ст. 3766; N 52, ст. 7491; N 53, ст. 7943; 2013, N 5, ст. 391; N 14, ст. 1705; N 35, ст. 4514; 2014, N 21, ст. 2712; N 40, ст. 5426; 2015, N 41, ст. 5671; N 46, ст. 6377; 201</w:t>
      </w:r>
      <w:r>
        <w:t>6, N 17, ст. 2410; N 31, ст. 5013; 2017, N 1, ст. 175), приказываю:</w:t>
      </w:r>
    </w:p>
    <w:p w:rsidR="00000000" w:rsidRDefault="00460EE3"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формирования и предоставления перечня объектов недвижимости, подлежащих государственной кадастровой оценке, в том числе количественн</w:t>
      </w:r>
      <w:r>
        <w:t>ые и качественные характеристики объектов недвижимости, подлежащие указанию в перечне объектов недвижимости, подлежащих государственной кадастровой оценке, требования к содержанию запроса о предоставлении перечня объектов недвижимости, подлежащих государст</w:t>
      </w:r>
      <w:r>
        <w:t>венной кадастровой оценке.</w:t>
      </w:r>
    </w:p>
    <w:p w:rsidR="00000000" w:rsidRDefault="00460EE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0EE3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60EE3">
            <w:pPr>
              <w:pStyle w:val="a5"/>
              <w:jc w:val="right"/>
            </w:pPr>
            <w:r>
              <w:t>М.С. Орешкин</w:t>
            </w:r>
          </w:p>
        </w:tc>
      </w:tr>
    </w:tbl>
    <w:p w:rsidR="00000000" w:rsidRDefault="00460EE3"/>
    <w:p w:rsidR="00000000" w:rsidRDefault="00460EE3">
      <w:pPr>
        <w:pStyle w:val="a6"/>
      </w:pPr>
      <w:r>
        <w:t>Зарегистрировано в Минюсте РФ 21 марта 2017 г.</w:t>
      </w:r>
    </w:p>
    <w:p w:rsidR="00000000" w:rsidRDefault="00460EE3">
      <w:pPr>
        <w:pStyle w:val="a6"/>
      </w:pPr>
      <w:r>
        <w:t>Регистрационный N 46049</w:t>
      </w:r>
    </w:p>
    <w:p w:rsidR="00000000" w:rsidRDefault="00460EE3"/>
    <w:p w:rsidR="00000000" w:rsidRDefault="00460EE3">
      <w:pPr>
        <w:ind w:firstLine="698"/>
        <w:jc w:val="right"/>
      </w:pPr>
      <w:bookmarkStart w:id="0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Минэкономразвития России</w:t>
      </w:r>
      <w:r>
        <w:rPr>
          <w:rStyle w:val="a3"/>
        </w:rPr>
        <w:br/>
        <w:t>от 20.02.2017 г. N 74</w:t>
      </w:r>
    </w:p>
    <w:bookmarkEnd w:id="0"/>
    <w:p w:rsidR="00000000" w:rsidRDefault="00460EE3"/>
    <w:p w:rsidR="00000000" w:rsidRDefault="00460EE3">
      <w:pPr>
        <w:pStyle w:val="1"/>
      </w:pPr>
      <w:r>
        <w:t>Порядок</w:t>
      </w:r>
      <w:r>
        <w:br/>
        <w:t>формирования и пред</w:t>
      </w:r>
      <w:r>
        <w:t>оставления перечня объектов недвижимости, подлежащих государственной кадастровой оценке, в том числе количественные и качественные характеристики объектов недвижимости, подлежащие указанию в перечне объектов недвижимости, подлежащих государственной кадастр</w:t>
      </w:r>
      <w:r>
        <w:t>овой оценке, требования к содержанию запроса о предоставлении перечня объектов недвижимости, подлежащих государственной кадастровой оценке</w:t>
      </w:r>
    </w:p>
    <w:p w:rsidR="00000000" w:rsidRDefault="00460EE3"/>
    <w:p w:rsidR="00000000" w:rsidRDefault="00460EE3">
      <w:pPr>
        <w:pStyle w:val="1"/>
      </w:pPr>
      <w:bookmarkStart w:id="1" w:name="sub_100"/>
      <w:r>
        <w:t>I. Общие требования</w:t>
      </w:r>
    </w:p>
    <w:bookmarkEnd w:id="1"/>
    <w:p w:rsidR="00000000" w:rsidRDefault="00460EE3"/>
    <w:p w:rsidR="00000000" w:rsidRDefault="00460EE3">
      <w:bookmarkStart w:id="2" w:name="sub_1"/>
      <w:r>
        <w:t xml:space="preserve">1. Настоящий Порядок разработан в целях реализации </w:t>
      </w:r>
      <w:hyperlink r:id="rId9" w:history="1">
        <w:r>
          <w:rPr>
            <w:rStyle w:val="a4"/>
          </w:rPr>
          <w:t>статьи 13</w:t>
        </w:r>
      </w:hyperlink>
      <w:r>
        <w:t xml:space="preserve"> Федерального закона от 3 июля 2016 г. N 237-ФЗ "О государственной кадастровой оценке" (Собрание законодательства Российской Федерации, 2016, N 27, ст. 4170) (далее - Федеральный закон) и устанавливает правила</w:t>
      </w:r>
      <w:r>
        <w:t xml:space="preserve"> формирования и предоставления перечня объектов недвижимости, подлежащих государственной </w:t>
      </w:r>
      <w:r>
        <w:lastRenderedPageBreak/>
        <w:t>кадастровой оценке (далее - перечень), в том числе количественные и качественные характеристики объектов недвижимости, подлежащие указанию в перечне, требования к соде</w:t>
      </w:r>
      <w:r>
        <w:t>ржанию запроса о предоставлении перечня.</w:t>
      </w:r>
    </w:p>
    <w:p w:rsidR="00000000" w:rsidRDefault="00460EE3">
      <w:bookmarkStart w:id="3" w:name="sub_2"/>
      <w:bookmarkEnd w:id="2"/>
      <w:r>
        <w:t>2. Формирование и предоставление перечня осуществляются территориальным органом федерального органа исполнительной власти, осуществляющим государственный кадастровый учет и государственную регистрацию прав</w:t>
      </w:r>
      <w:r>
        <w:t xml:space="preserve"> (далее - орган регистрации прав)</w:t>
      </w:r>
      <w:hyperlink w:anchor="sub_99" w:history="1">
        <w:r>
          <w:rPr>
            <w:rStyle w:val="a4"/>
          </w:rPr>
          <w:t>*</w:t>
        </w:r>
      </w:hyperlink>
      <w:r>
        <w:t>.</w:t>
      </w:r>
    </w:p>
    <w:bookmarkEnd w:id="3"/>
    <w:p w:rsidR="00000000" w:rsidRDefault="00460EE3"/>
    <w:p w:rsidR="00000000" w:rsidRDefault="00460EE3">
      <w:pPr>
        <w:pStyle w:val="1"/>
      </w:pPr>
      <w:bookmarkStart w:id="4" w:name="sub_200"/>
      <w:r>
        <w:t>II. Формирование перечня</w:t>
      </w:r>
    </w:p>
    <w:bookmarkEnd w:id="4"/>
    <w:p w:rsidR="00000000" w:rsidRDefault="00460EE3"/>
    <w:p w:rsidR="00000000" w:rsidRDefault="00460EE3">
      <w:bookmarkStart w:id="5" w:name="sub_3"/>
      <w:r>
        <w:t xml:space="preserve">3. Перечень формируется в отношении всех объектов недвижимости, указанных в решении о проведении государственной кадастровой оценки, на основании сведений, предусмотренных </w:t>
      </w:r>
      <w:hyperlink r:id="rId10" w:history="1">
        <w:r>
          <w:rPr>
            <w:rStyle w:val="a4"/>
          </w:rPr>
          <w:t>частью 3 статьи 11</w:t>
        </w:r>
      </w:hyperlink>
      <w:r>
        <w:t xml:space="preserve"> Ф</w:t>
      </w:r>
      <w:r>
        <w:t>едерального закона.</w:t>
      </w:r>
    </w:p>
    <w:p w:rsidR="00000000" w:rsidRDefault="00460EE3">
      <w:bookmarkStart w:id="6" w:name="sub_4"/>
      <w:bookmarkEnd w:id="5"/>
      <w:r>
        <w:t xml:space="preserve">4. В перечень включаются сведения Единого государственного реестра недвижимости (ЕГРН), актуальные по состоянию на 1 января года определения кадастровой стоимости, за исключением случаев, предусмотренных </w:t>
      </w:r>
      <w:hyperlink w:anchor="sub_5" w:history="1">
        <w:r>
          <w:rPr>
            <w:rStyle w:val="a4"/>
          </w:rPr>
          <w:t>пу</w:t>
        </w:r>
        <w:r>
          <w:rPr>
            <w:rStyle w:val="a4"/>
          </w:rPr>
          <w:t>нктом 5</w:t>
        </w:r>
      </w:hyperlink>
      <w:r>
        <w:t xml:space="preserve"> настоящего Порядка. В перечень также включаются иные сведения и материалы в объеме, определенном настоящим Порядком.</w:t>
      </w:r>
    </w:p>
    <w:p w:rsidR="00000000" w:rsidRDefault="00460EE3">
      <w:bookmarkStart w:id="7" w:name="sub_5"/>
      <w:bookmarkEnd w:id="6"/>
      <w:r>
        <w:t>5. В случае проведения внеочередной государственной кадастровой оценки при снижении индекса рынка недвижимости в субъе</w:t>
      </w:r>
      <w:r>
        <w:t>кте Российской Федерации на 30 и более процентов в перечень включаются сведения и материалы, являющиеся актуальными по состоянию на день опубликования органом регистрации прав соответствующего индекса рынка недвижимости в фонде данных государственной кадас</w:t>
      </w:r>
      <w:r>
        <w:t>тровой оценки.</w:t>
      </w:r>
    </w:p>
    <w:bookmarkEnd w:id="7"/>
    <w:p w:rsidR="00000000" w:rsidRDefault="00460EE3">
      <w:r>
        <w:t>В случае проведения внеочередной государственной кадастровой оценки при оспаривании результатов определения кадастровой стоимости в субъекте Российской Федерации по основанию установления рыночной стоимости в отношении 30 и более процен</w:t>
      </w:r>
      <w:r>
        <w:t>тов объектов недвижимости, сведения о которых содержатся в ЕГРН, в перечень включаются сведения и материалы, являющиеся актуальными по состоянию на день принятия решения о проведении государственной кадастровой оценки.</w:t>
      </w:r>
    </w:p>
    <w:p w:rsidR="00000000" w:rsidRDefault="00460EE3">
      <w:bookmarkStart w:id="8" w:name="sub_6"/>
      <w:r>
        <w:t>6. В перечень не включаются свед</w:t>
      </w:r>
      <w:r>
        <w:t>ения об объектах недвижимости, в отношении которых на дату формирования перечня отсутствует хотя бы одна из следующих характеристик:</w:t>
      </w:r>
    </w:p>
    <w:bookmarkEnd w:id="8"/>
    <w:p w:rsidR="00000000" w:rsidRDefault="00460EE3">
      <w:r>
        <w:t>кадастровый номер;</w:t>
      </w:r>
    </w:p>
    <w:p w:rsidR="00000000" w:rsidRDefault="00460EE3">
      <w:r>
        <w:t>категория земель, в случае если объектом недвижимости, подлежащим государственной кадастровой оценк</w:t>
      </w:r>
      <w:r>
        <w:t>е, является земельный участок;</w:t>
      </w:r>
    </w:p>
    <w:p w:rsidR="00000000" w:rsidRDefault="00460EE3">
      <w:r>
        <w:t>вид разрешенного использования, в случае если объектом недвижимости, подлежащим государственной кадастровой оценке, является земельный участок;</w:t>
      </w:r>
    </w:p>
    <w:p w:rsidR="00000000" w:rsidRDefault="00460EE3">
      <w:r>
        <w:t>кадастровый номер здания или сооружения, в котором расположено помещение, машино-</w:t>
      </w:r>
      <w:r>
        <w:t>место, в случае если объектом недвижимости, подлежащим государственной кадастровой оценке, является помещение, машино-место;</w:t>
      </w:r>
    </w:p>
    <w:p w:rsidR="00000000" w:rsidRDefault="00460EE3">
      <w:r>
        <w:t>назначение объекта недвижимости, в случае если объектом недвижимости, подлежащим государственной кадастровой оценке, является здани</w:t>
      </w:r>
      <w:r>
        <w:t>е, сооружение, помещение, единый недвижимый комплекс;</w:t>
      </w:r>
    </w:p>
    <w:p w:rsidR="00000000" w:rsidRDefault="00460EE3">
      <w:r>
        <w:t>площадь, в случае если объектом недвижимости, подлежащим государственной кадастровой оценке, является земельный участок, здание, помещение, машино-место.</w:t>
      </w:r>
    </w:p>
    <w:p w:rsidR="00000000" w:rsidRDefault="00460EE3">
      <w:bookmarkStart w:id="9" w:name="sub_7"/>
      <w:r>
        <w:t>7. Перечень состоит из графической и тексто</w:t>
      </w:r>
      <w:r>
        <w:t>вой части.</w:t>
      </w:r>
    </w:p>
    <w:p w:rsidR="00000000" w:rsidRDefault="00460EE3">
      <w:bookmarkStart w:id="10" w:name="sub_8"/>
      <w:bookmarkEnd w:id="9"/>
      <w:r>
        <w:t>8. Графическая часть перечня формируется в виде файлов в формате MIF/MID или SHP, в обязательном порядке содержащих следующие сведения и материалы:</w:t>
      </w:r>
    </w:p>
    <w:bookmarkEnd w:id="10"/>
    <w:p w:rsidR="00000000" w:rsidRDefault="00460EE3">
      <w:r>
        <w:t xml:space="preserve">о границах кадастровых кварталов, включая сведения об учетных номерах кадастровых </w:t>
      </w:r>
      <w:r>
        <w:t>кварталов;</w:t>
      </w:r>
    </w:p>
    <w:p w:rsidR="00000000" w:rsidRDefault="00460EE3">
      <w:r>
        <w:t>о границах населенных пунктов;</w:t>
      </w:r>
    </w:p>
    <w:p w:rsidR="00000000" w:rsidRDefault="00460EE3">
      <w:r>
        <w:t>о границах муниципальных образований;</w:t>
      </w:r>
    </w:p>
    <w:p w:rsidR="00000000" w:rsidRDefault="00460EE3">
      <w:r>
        <w:lastRenderedPageBreak/>
        <w:t>о границах земельных участков, включая сведения о кадастровых номерах земельных участков;</w:t>
      </w:r>
    </w:p>
    <w:p w:rsidR="00000000" w:rsidRDefault="00460EE3">
      <w:r>
        <w:t>о контурах зданий, сооружений, объектов незавершенного строительства на земельных учас</w:t>
      </w:r>
      <w:r>
        <w:t>тках, включая сведения о кадастровых номерах зданий, сооружений, объектов незавершенного строительства;</w:t>
      </w:r>
    </w:p>
    <w:p w:rsidR="00000000" w:rsidRDefault="00460EE3">
      <w:r>
        <w:t>о границах зон с особыми условиями использования территорий, территориальных зонах, территорий объектов культурного наследия, территорий опережающего со</w:t>
      </w:r>
      <w:r>
        <w:t>циально-экономического развития, зонах территориального развития в Российской Федерации, об игорных зонах, о лесничествах, лесопарках, об особо охраняемых природных территориях, особых экономических зонах, охотничьих угодьях;</w:t>
      </w:r>
    </w:p>
    <w:p w:rsidR="00000000" w:rsidRDefault="00460EE3">
      <w:r>
        <w:t>о береговых линиях (границах в</w:t>
      </w:r>
      <w:r>
        <w:t>одных объектов).</w:t>
      </w:r>
    </w:p>
    <w:p w:rsidR="00000000" w:rsidRDefault="00460EE3">
      <w:bookmarkStart w:id="11" w:name="sub_9"/>
      <w:r>
        <w:t>9. Текстовая часть перечня включает общие сведения о формируемом перечне и сведения о количественных и качественных характеристиках объектов недвижимости.</w:t>
      </w:r>
    </w:p>
    <w:p w:rsidR="00000000" w:rsidRDefault="00460EE3">
      <w:bookmarkStart w:id="12" w:name="sub_10"/>
      <w:bookmarkEnd w:id="11"/>
      <w:r>
        <w:t>10. Текстовая часть перечня формируется в виде файлов в формате XML,</w:t>
      </w:r>
      <w:r>
        <w:t xml:space="preserve"> созданных с использованием XML-схем, размещаемых на официальном сайте органа регистрации прав в информационно-телекоммуникационной сети "Интернет".</w:t>
      </w:r>
    </w:p>
    <w:p w:rsidR="00000000" w:rsidRDefault="00460EE3">
      <w:bookmarkStart w:id="13" w:name="sub_11"/>
      <w:bookmarkEnd w:id="12"/>
      <w:r>
        <w:t>11. Общие сведения о формируемом перечне включают:</w:t>
      </w:r>
    </w:p>
    <w:bookmarkEnd w:id="13"/>
    <w:p w:rsidR="00000000" w:rsidRDefault="00460EE3">
      <w:r>
        <w:t>дату, по состоянию на которую формируе</w:t>
      </w:r>
      <w:r>
        <w:t>тся перечень;</w:t>
      </w:r>
    </w:p>
    <w:p w:rsidR="00000000" w:rsidRDefault="00460EE3">
      <w:r>
        <w:t>наименование субъекта Российской Федерации, на территории которого расположены объекты недвижимости, сведения о которых подлежат включению в перечень;</w:t>
      </w:r>
    </w:p>
    <w:p w:rsidR="00000000" w:rsidRDefault="00460EE3">
      <w:r>
        <w:t>вид (виды) объектов недвижимости, сведения о которых подлежат включению в перечень;</w:t>
      </w:r>
    </w:p>
    <w:p w:rsidR="00000000" w:rsidRDefault="00460EE3">
      <w:r>
        <w:t>ка</w:t>
      </w:r>
      <w:r>
        <w:t>тегория (категории) земель, если в перечень включены сведения о земельных участках;</w:t>
      </w:r>
    </w:p>
    <w:p w:rsidR="00000000" w:rsidRDefault="00460EE3">
      <w:r>
        <w:t>количество объектов недвижимости, сведения о которых подлежат включению в перечень.</w:t>
      </w:r>
    </w:p>
    <w:p w:rsidR="00000000" w:rsidRDefault="00460EE3">
      <w:bookmarkStart w:id="14" w:name="sub_12"/>
      <w:r>
        <w:t>12. Количественные и качественные характеристики объектов недвижимости включают св</w:t>
      </w:r>
      <w:r>
        <w:t xml:space="preserve">едения, предусмотренные </w:t>
      </w:r>
      <w:hyperlink r:id="rId11" w:history="1">
        <w:r>
          <w:rPr>
            <w:rStyle w:val="a4"/>
          </w:rPr>
          <w:t>частями 4</w:t>
        </w:r>
      </w:hyperlink>
      <w:r>
        <w:t xml:space="preserve"> и </w:t>
      </w:r>
      <w:hyperlink r:id="rId12" w:history="1">
        <w:r>
          <w:rPr>
            <w:rStyle w:val="a4"/>
          </w:rPr>
          <w:t>5 статьи 8</w:t>
        </w:r>
      </w:hyperlink>
      <w:r>
        <w:t xml:space="preserve"> Федерального закона от 13 июля 2015 г. N 218-ФЗ "О государственной регистрации не</w:t>
      </w:r>
      <w:r>
        <w:t xml:space="preserve">движимости" (Собрание законодательства Российской Федерации, 2015, N 29, ст. 4344; 2016, N 27, ст. 4248, 4294), за исключением сведений, указанных в </w:t>
      </w:r>
      <w:hyperlink r:id="rId13" w:history="1">
        <w:r>
          <w:rPr>
            <w:rStyle w:val="a4"/>
          </w:rPr>
          <w:t>пунктах 4</w:t>
        </w:r>
      </w:hyperlink>
      <w:r>
        <w:t xml:space="preserve">, </w:t>
      </w:r>
      <w:hyperlink r:id="rId14" w:history="1">
        <w:r>
          <w:rPr>
            <w:rStyle w:val="a4"/>
          </w:rPr>
          <w:t>5</w:t>
        </w:r>
      </w:hyperlink>
      <w:r>
        <w:t xml:space="preserve">, </w:t>
      </w:r>
      <w:hyperlink r:id="rId15" w:history="1">
        <w:r>
          <w:rPr>
            <w:rStyle w:val="a4"/>
          </w:rPr>
          <w:t>7</w:t>
        </w:r>
      </w:hyperlink>
      <w:r>
        <w:t xml:space="preserve">, </w:t>
      </w:r>
      <w:hyperlink r:id="rId16" w:history="1">
        <w:r>
          <w:rPr>
            <w:rStyle w:val="a4"/>
          </w:rPr>
          <w:t>20</w:t>
        </w:r>
      </w:hyperlink>
      <w:r>
        <w:t xml:space="preserve">, </w:t>
      </w:r>
      <w:hyperlink r:id="rId17" w:history="1">
        <w:r>
          <w:rPr>
            <w:rStyle w:val="a4"/>
          </w:rPr>
          <w:t>25 части 4</w:t>
        </w:r>
      </w:hyperlink>
      <w:r>
        <w:t xml:space="preserve"> и</w:t>
      </w:r>
      <w:r>
        <w:t xml:space="preserve"> в </w:t>
      </w:r>
      <w:hyperlink r:id="rId18" w:history="1">
        <w:r>
          <w:rPr>
            <w:rStyle w:val="a4"/>
          </w:rPr>
          <w:t>пунктах 19</w:t>
        </w:r>
      </w:hyperlink>
      <w:r>
        <w:t xml:space="preserve">, </w:t>
      </w:r>
      <w:hyperlink r:id="rId19" w:history="1">
        <w:r>
          <w:rPr>
            <w:rStyle w:val="a4"/>
          </w:rPr>
          <w:t>20</w:t>
        </w:r>
      </w:hyperlink>
      <w:r>
        <w:t xml:space="preserve">, </w:t>
      </w:r>
      <w:hyperlink r:id="rId20" w:history="1">
        <w:r>
          <w:rPr>
            <w:rStyle w:val="a4"/>
          </w:rPr>
          <w:t>22</w:t>
        </w:r>
      </w:hyperlink>
      <w:r>
        <w:t xml:space="preserve">, </w:t>
      </w:r>
      <w:hyperlink r:id="rId21" w:history="1">
        <w:r>
          <w:rPr>
            <w:rStyle w:val="a4"/>
          </w:rPr>
          <w:t>23 части 5</w:t>
        </w:r>
      </w:hyperlink>
      <w:r>
        <w:t xml:space="preserve"> указанной статьи.</w:t>
      </w:r>
    </w:p>
    <w:p w:rsidR="00000000" w:rsidRDefault="00460EE3">
      <w:bookmarkStart w:id="15" w:name="sub_13"/>
      <w:bookmarkEnd w:id="14"/>
      <w:r>
        <w:t>13. Количественные и качественные характеристики объектов недвижимости также включают следующие сведения:</w:t>
      </w:r>
    </w:p>
    <w:p w:rsidR="00000000" w:rsidRDefault="00460EE3">
      <w:bookmarkStart w:id="16" w:name="sub_131"/>
      <w:bookmarkEnd w:id="15"/>
      <w:r>
        <w:t>а) о помещении, машино-месте:</w:t>
      </w:r>
    </w:p>
    <w:bookmarkEnd w:id="16"/>
    <w:p w:rsidR="00000000" w:rsidRDefault="00460EE3">
      <w:r>
        <w:t xml:space="preserve">вид объекта недвижимости, в </w:t>
      </w:r>
      <w:r>
        <w:t>котором расположено помещение, машино-место;</w:t>
      </w:r>
    </w:p>
    <w:p w:rsidR="00000000" w:rsidRDefault="00460EE3">
      <w:r>
        <w:t>назначение здания или сооружения, в котором расположено помещение, машино-место;</w:t>
      </w:r>
    </w:p>
    <w:p w:rsidR="00000000" w:rsidRDefault="00460EE3">
      <w:r>
        <w:t>количество этажей (этажность) здания или сооружения, в том числе подземных этажей (при наличии этажности у здания или сооружения),</w:t>
      </w:r>
      <w:r>
        <w:t xml:space="preserve"> в котором расположено помещение, машино-место;</w:t>
      </w:r>
    </w:p>
    <w:p w:rsidR="00000000" w:rsidRDefault="00460EE3">
      <w:r>
        <w:t>материал наружных стен здания, в котором расположено помещение, машино-место;</w:t>
      </w:r>
    </w:p>
    <w:p w:rsidR="00000000" w:rsidRDefault="00460EE3">
      <w:r>
        <w:t>год ввода в эксплуатацию здания, сооружения, в котором расположено помещение, машино-место, по завершении строительства указанного</w:t>
      </w:r>
      <w:r>
        <w:t xml:space="preserve"> здания или год завершения данного строительства;</w:t>
      </w:r>
    </w:p>
    <w:p w:rsidR="00000000" w:rsidRDefault="00460EE3">
      <w:bookmarkStart w:id="17" w:name="sub_132"/>
      <w:r>
        <w:t>б) об объектах недвижимости, входящих в состав предприятия как имущественного комплекса:</w:t>
      </w:r>
    </w:p>
    <w:bookmarkEnd w:id="17"/>
    <w:p w:rsidR="00000000" w:rsidRDefault="00460EE3">
      <w:r>
        <w:t>назначение предприятия как имущественного комплекса (основной вид деятельности, осуществляемый собствен</w:t>
      </w:r>
      <w:r>
        <w:t>ником с использованием данного предприятия, либо (при наличии) коммерческое обозначение, используемое собственником предприятия для индивидуализации предприятия).</w:t>
      </w:r>
    </w:p>
    <w:p w:rsidR="00000000" w:rsidRDefault="00460EE3">
      <w:bookmarkStart w:id="18" w:name="sub_14"/>
      <w:r>
        <w:t>14. В случае если включению в перечень подлежат сведения о единых недвижимых комплексах</w:t>
      </w:r>
      <w:r>
        <w:t xml:space="preserve"> (ЕНК), в перечень также включаются сведения в объеме, указанном в </w:t>
      </w:r>
      <w:hyperlink w:anchor="sub_12" w:history="1">
        <w:r>
          <w:rPr>
            <w:rStyle w:val="a4"/>
          </w:rPr>
          <w:t>пунктах 12</w:t>
        </w:r>
      </w:hyperlink>
      <w:r>
        <w:t xml:space="preserve"> и </w:t>
      </w:r>
      <w:hyperlink w:anchor="sub_132" w:history="1">
        <w:r>
          <w:rPr>
            <w:rStyle w:val="a4"/>
          </w:rPr>
          <w:t>подпункте "б" пункта 13</w:t>
        </w:r>
      </w:hyperlink>
      <w:r>
        <w:t xml:space="preserve"> настоящего Порядка, обо всех объектах недвижимости, входящих в состав соответствующих ЕНК.</w:t>
      </w:r>
    </w:p>
    <w:p w:rsidR="00000000" w:rsidRDefault="00460EE3">
      <w:bookmarkStart w:id="19" w:name="sub_15"/>
      <w:bookmarkEnd w:id="18"/>
      <w:r>
        <w:t xml:space="preserve">15. Перечень составляется в форме упакованного (архивированного) электронного </w:t>
      </w:r>
      <w:r>
        <w:lastRenderedPageBreak/>
        <w:t xml:space="preserve">документа, подписанного усиленной </w:t>
      </w:r>
      <w:hyperlink r:id="rId22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уполномоченного лица органа регистрации пр</w:t>
      </w:r>
      <w:r>
        <w:t>ав.</w:t>
      </w:r>
    </w:p>
    <w:bookmarkEnd w:id="19"/>
    <w:p w:rsidR="00000000" w:rsidRDefault="00460EE3"/>
    <w:p w:rsidR="00000000" w:rsidRDefault="00460EE3">
      <w:pPr>
        <w:pStyle w:val="1"/>
      </w:pPr>
      <w:bookmarkStart w:id="20" w:name="sub_300"/>
      <w:r>
        <w:t>III. Требования к содержанию запроса о предоставлении перечня</w:t>
      </w:r>
    </w:p>
    <w:bookmarkEnd w:id="20"/>
    <w:p w:rsidR="00000000" w:rsidRDefault="00460EE3"/>
    <w:p w:rsidR="00000000" w:rsidRDefault="00460EE3">
      <w:bookmarkStart w:id="21" w:name="sub_16"/>
      <w:r>
        <w:t>16. Запрос о предоставлении перечня должен содержать копию решения о проведении государственной кадастровой оценки, в том числе внеочередной государственной кадастровой оценки, а также в случае проведения внеочередной государственной кадастровой оценки - и</w:t>
      </w:r>
      <w:r>
        <w:t>нформацию об основаниях проведения внеочередной государственной кадастровой оценки.</w:t>
      </w:r>
    </w:p>
    <w:p w:rsidR="00000000" w:rsidRDefault="00460EE3">
      <w:bookmarkStart w:id="22" w:name="sub_17"/>
      <w:bookmarkEnd w:id="21"/>
      <w:r>
        <w:t>17. Запрос о предоставлении перечня составляется в форме документа на бумажном носителе и (или) в форме электронного документа, подписанного усиленной квалифици</w:t>
      </w:r>
      <w:r>
        <w:t>рованной электронной подписью должностного лица уполномоченного органа субъекта Российской Федерации.</w:t>
      </w:r>
    </w:p>
    <w:bookmarkEnd w:id="22"/>
    <w:p w:rsidR="00000000" w:rsidRDefault="00460EE3"/>
    <w:p w:rsidR="00000000" w:rsidRDefault="00460EE3">
      <w:pPr>
        <w:pStyle w:val="1"/>
      </w:pPr>
      <w:bookmarkStart w:id="23" w:name="sub_400"/>
      <w:r>
        <w:t>IV. Порядок предоставления перечня</w:t>
      </w:r>
    </w:p>
    <w:bookmarkEnd w:id="23"/>
    <w:p w:rsidR="00000000" w:rsidRDefault="00460EE3"/>
    <w:p w:rsidR="00000000" w:rsidRDefault="00460EE3">
      <w:bookmarkStart w:id="24" w:name="sub_18"/>
      <w:r>
        <w:t>18. Перечень предоставляется органом регистрации прав исполнительному органу государственно</w:t>
      </w:r>
      <w:r>
        <w:t>й власти субъекта Российской Федерации по его запросу о предоставлении перечня.</w:t>
      </w:r>
    </w:p>
    <w:p w:rsidR="00000000" w:rsidRDefault="00460EE3">
      <w:bookmarkStart w:id="25" w:name="sub_19"/>
      <w:bookmarkEnd w:id="24"/>
      <w:r>
        <w:t>19. Перечень предоставляется в течение 30 рабочих дней с даты регистрации в органе регистрации прав запроса о предоставлении перечня, за исключением случаев, устано</w:t>
      </w:r>
      <w:r>
        <w:t xml:space="preserve">вленных </w:t>
      </w:r>
      <w:hyperlink w:anchor="sub_20" w:history="1">
        <w:r>
          <w:rPr>
            <w:rStyle w:val="a4"/>
          </w:rPr>
          <w:t>пунктами 20</w:t>
        </w:r>
      </w:hyperlink>
      <w:r>
        <w:t xml:space="preserve"> и </w:t>
      </w:r>
      <w:hyperlink w:anchor="sub_21" w:history="1">
        <w:r>
          <w:rPr>
            <w:rStyle w:val="a4"/>
          </w:rPr>
          <w:t>21</w:t>
        </w:r>
      </w:hyperlink>
      <w:r>
        <w:t xml:space="preserve"> настоящего Порядка.</w:t>
      </w:r>
    </w:p>
    <w:p w:rsidR="00000000" w:rsidRDefault="00460EE3">
      <w:bookmarkStart w:id="26" w:name="sub_20"/>
      <w:bookmarkEnd w:id="25"/>
      <w:r>
        <w:t>20. При поступлении запроса о предоставлении перечня до 1 января года определения кадастровой стоимости, за исключением случаев проведения внеочередной</w:t>
      </w:r>
      <w:r>
        <w:t xml:space="preserve"> государственной кадастровой оценки, перечень предоставляется в течение 30 рабочих дней после 1 января года определения кадастровой стоимости.</w:t>
      </w:r>
    </w:p>
    <w:p w:rsidR="00000000" w:rsidRDefault="00460EE3">
      <w:bookmarkStart w:id="27" w:name="sub_21"/>
      <w:bookmarkEnd w:id="26"/>
      <w:r>
        <w:t>21. В случае проведения внеочередной государственной кадастровой оценки перечень предоставляется в те</w:t>
      </w:r>
      <w:r>
        <w:t>чение 10 рабочих дней с даты регистрации в органе регистрации прав запроса о предоставлении перечня.</w:t>
      </w:r>
    </w:p>
    <w:p w:rsidR="00000000" w:rsidRDefault="00460EE3">
      <w:bookmarkStart w:id="28" w:name="sub_22"/>
      <w:bookmarkEnd w:id="27"/>
      <w:r>
        <w:t xml:space="preserve">22. В случае несоблюдения требований к содержанию запроса о предоставлении перечня, указанных в </w:t>
      </w:r>
      <w:hyperlink w:anchor="sub_16" w:history="1">
        <w:r>
          <w:rPr>
            <w:rStyle w:val="a4"/>
          </w:rPr>
          <w:t>пунктах 16</w:t>
        </w:r>
      </w:hyperlink>
      <w:r>
        <w:t xml:space="preserve"> и </w:t>
      </w:r>
      <w:hyperlink w:anchor="sub_17" w:history="1">
        <w:r>
          <w:rPr>
            <w:rStyle w:val="a4"/>
          </w:rPr>
          <w:t>17</w:t>
        </w:r>
      </w:hyperlink>
      <w:r>
        <w:t xml:space="preserve"> настоящего Порядка, и (или) отсутствия в решении о проведении государственной кадастровой оценки сведений, предусмотренных </w:t>
      </w:r>
      <w:hyperlink r:id="rId23" w:history="1">
        <w:r>
          <w:rPr>
            <w:rStyle w:val="a4"/>
          </w:rPr>
          <w:t>частью 3 статьи 11</w:t>
        </w:r>
      </w:hyperlink>
      <w:r>
        <w:t xml:space="preserve"> Федерального закона, орган регист</w:t>
      </w:r>
      <w:r>
        <w:t>рации прав направляет исполнительному органу государственной власти субъекта Российской Федерации уведомление о невозможности формирования перечня с указанием причин принятия соответствующего решения в течение 7 рабочих дней с даты регистрации в органе рег</w:t>
      </w:r>
      <w:r>
        <w:t>истрации прав запроса о предоставлении перечня. В указанном случае перечень не формируется и не предоставляется.</w:t>
      </w:r>
    </w:p>
    <w:bookmarkEnd w:id="28"/>
    <w:p w:rsidR="00000000" w:rsidRDefault="00460EE3"/>
    <w:p w:rsidR="00000000" w:rsidRDefault="00460EE3">
      <w:pPr>
        <w:ind w:firstLine="0"/>
      </w:pPr>
      <w:r>
        <w:t>_____________________________</w:t>
      </w:r>
    </w:p>
    <w:p w:rsidR="00000000" w:rsidRDefault="00460EE3">
      <w:bookmarkStart w:id="29" w:name="sub_99"/>
      <w:r>
        <w:t xml:space="preserve">* В соответствии с </w:t>
      </w:r>
      <w:hyperlink r:id="rId24" w:history="1">
        <w:r>
          <w:rPr>
            <w:rStyle w:val="a4"/>
          </w:rPr>
          <w:t>Положением</w:t>
        </w:r>
      </w:hyperlink>
      <w:r>
        <w:t xml:space="preserve"> о Федеральной службе государственной регистрации, кадастра и картографии, утвержденным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июня 2009 г. N 457 (Собрание законодательства Росси</w:t>
      </w:r>
      <w:r>
        <w:t>йской Федерации, 2009, N 25, ст. 3052; 2010, N 26, ст. 3350; N 45, ст. 5860; 2011, N 14, ст. 1935; N 15, ст. 2125; N 23, ст. 3320; N 46, ст. 6527; 2012, N 39, ст. 5266; N 42, ст. 5715; N 51, ст. 7236; 2013, N 45, ст. 5822; 2014, N 50, ст. 7123; 2015, ст. 4</w:t>
      </w:r>
      <w:r>
        <w:t>91; 2016, N 2, ст. 325, 356; N 17, ст. 2409; N 28, ст. 4741; N 42, ст. 5943; N 45, ст. 6264), таким органом является Росреестр.</w:t>
      </w:r>
    </w:p>
    <w:bookmarkEnd w:id="29"/>
    <w:p w:rsidR="00460EE3" w:rsidRDefault="00460EE3"/>
    <w:sectPr w:rsidR="00460EE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37698"/>
    <w:rsid w:val="00460EE3"/>
    <w:rsid w:val="0063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60901&amp;sub=0" TargetMode="External"/><Relationship Id="rId13" Type="http://schemas.openxmlformats.org/officeDocument/2006/relationships/hyperlink" Target="http://ivo.garant.ru/document?id=71029192&amp;sub=10021" TargetMode="External"/><Relationship Id="rId18" Type="http://schemas.openxmlformats.org/officeDocument/2006/relationships/hyperlink" Target="http://ivo.garant.ru/document?id=71029192&amp;sub=1006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1029192&amp;sub=10067" TargetMode="External"/><Relationship Id="rId7" Type="http://schemas.openxmlformats.org/officeDocument/2006/relationships/hyperlink" Target="http://ivo.garant.ru/document?id=12060901&amp;sub=1001" TargetMode="External"/><Relationship Id="rId12" Type="http://schemas.openxmlformats.org/officeDocument/2006/relationships/hyperlink" Target="http://ivo.garant.ru/document?id=71029192&amp;sub=805" TargetMode="External"/><Relationship Id="rId17" Type="http://schemas.openxmlformats.org/officeDocument/2006/relationships/hyperlink" Target="http://ivo.garant.ru/document?id=71029192&amp;sub=10042" TargetMode="External"/><Relationship Id="rId25" Type="http://schemas.openxmlformats.org/officeDocument/2006/relationships/hyperlink" Target="http://ivo.garant.ru/document?id=12067669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029192&amp;sub=10037" TargetMode="External"/><Relationship Id="rId20" Type="http://schemas.openxmlformats.org/officeDocument/2006/relationships/hyperlink" Target="http://ivo.garant.ru/document?id=71029192&amp;sub=100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33956&amp;sub=134" TargetMode="External"/><Relationship Id="rId11" Type="http://schemas.openxmlformats.org/officeDocument/2006/relationships/hyperlink" Target="http://ivo.garant.ru/document?id=71029192&amp;sub=804" TargetMode="External"/><Relationship Id="rId24" Type="http://schemas.openxmlformats.org/officeDocument/2006/relationships/hyperlink" Target="http://ivo.garant.ru/document?id=12067669&amp;sub=1000" TargetMode="External"/><Relationship Id="rId5" Type="http://schemas.openxmlformats.org/officeDocument/2006/relationships/hyperlink" Target="http://ivo.garant.ru/document?id=71534898&amp;sub=0" TargetMode="External"/><Relationship Id="rId15" Type="http://schemas.openxmlformats.org/officeDocument/2006/relationships/hyperlink" Target="http://ivo.garant.ru/document?id=71029192&amp;sub=10024" TargetMode="External"/><Relationship Id="rId23" Type="http://schemas.openxmlformats.org/officeDocument/2006/relationships/hyperlink" Target="http://ivo.garant.ru/document?id=71333956&amp;sub=113" TargetMode="External"/><Relationship Id="rId10" Type="http://schemas.openxmlformats.org/officeDocument/2006/relationships/hyperlink" Target="http://ivo.garant.ru/document?id=71333956&amp;sub=113" TargetMode="External"/><Relationship Id="rId19" Type="http://schemas.openxmlformats.org/officeDocument/2006/relationships/hyperlink" Target="http://ivo.garant.ru/document?id=71029192&amp;sub=10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333956&amp;sub=13" TargetMode="External"/><Relationship Id="rId14" Type="http://schemas.openxmlformats.org/officeDocument/2006/relationships/hyperlink" Target="http://ivo.garant.ru/document?id=71029192&amp;sub=10022" TargetMode="External"/><Relationship Id="rId22" Type="http://schemas.openxmlformats.org/officeDocument/2006/relationships/hyperlink" Target="http://ivo.garant.ru/document?id=12084522&amp;sub=5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2110</Words>
  <Characters>12031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2018-02-13T09:01:00Z</dcterms:created>
  <dcterms:modified xsi:type="dcterms:W3CDTF">2018-02-13T09:01:00Z</dcterms:modified>
</cp:coreProperties>
</file>